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40" w:rsidRDefault="00AB663A" w:rsidP="00E12F12">
      <w:pPr>
        <w:pStyle w:val="Standard"/>
        <w:jc w:val="right"/>
      </w:pPr>
      <w:bookmarkStart w:id="0" w:name="_GoBack"/>
      <w:bookmarkEnd w:id="0"/>
      <w:r>
        <w:rPr>
          <w:noProof/>
          <w:lang w:eastAsia="fr-FR" w:bidi="ar-SA"/>
        </w:rPr>
        <w:drawing>
          <wp:anchor distT="0" distB="0" distL="114300" distR="114300" simplePos="0" relativeHeight="251658240" behindDoc="0" locked="0" layoutInCell="1" allowOverlap="1" wp14:anchorId="5B0A1C56" wp14:editId="2DEDE6AF">
            <wp:simplePos x="0" y="0"/>
            <wp:positionH relativeFrom="margin">
              <wp:align>left</wp:align>
            </wp:positionH>
            <wp:positionV relativeFrom="margin">
              <wp:align>top</wp:align>
            </wp:positionV>
            <wp:extent cx="1440360" cy="1440360"/>
            <wp:effectExtent l="0" t="0" r="7620" b="7620"/>
            <wp:wrapSquare wrapText="right"/>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1440360" cy="1440360"/>
                    </a:xfrm>
                    <a:prstGeom prst="rect">
                      <a:avLst/>
                    </a:prstGeom>
                    <a:noFill/>
                    <a:ln>
                      <a:noFill/>
                      <a:prstDash/>
                    </a:ln>
                  </pic:spPr>
                </pic:pic>
              </a:graphicData>
            </a:graphic>
          </wp:anchor>
        </w:drawing>
      </w:r>
      <w:r>
        <w:t xml:space="preserve"> </w:t>
      </w:r>
    </w:p>
    <w:p w:rsidR="00951B40" w:rsidRDefault="00AB663A">
      <w:pPr>
        <w:pStyle w:val="Standard"/>
        <w:jc w:val="center"/>
        <w:rPr>
          <w:b/>
          <w:bCs/>
          <w:sz w:val="40"/>
          <w:szCs w:val="40"/>
          <w:u w:val="single"/>
        </w:rPr>
      </w:pPr>
      <w:r>
        <w:rPr>
          <w:b/>
          <w:bCs/>
          <w:sz w:val="40"/>
          <w:szCs w:val="40"/>
          <w:u w:val="single"/>
        </w:rPr>
        <w:t>Convention de mise à disposition</w:t>
      </w:r>
    </w:p>
    <w:p w:rsidR="00951B40" w:rsidRDefault="00AB663A">
      <w:pPr>
        <w:pStyle w:val="Standard"/>
        <w:jc w:val="center"/>
        <w:rPr>
          <w:b/>
          <w:bCs/>
          <w:sz w:val="40"/>
          <w:szCs w:val="40"/>
          <w:u w:val="single"/>
        </w:rPr>
      </w:pPr>
      <w:r>
        <w:rPr>
          <w:b/>
          <w:bCs/>
          <w:sz w:val="40"/>
          <w:szCs w:val="40"/>
          <w:u w:val="single"/>
        </w:rPr>
        <w:t>d'une structure d'escalade</w:t>
      </w:r>
    </w:p>
    <w:p w:rsidR="00AE09EA" w:rsidRDefault="00AE09EA">
      <w:pPr>
        <w:pStyle w:val="Standard"/>
        <w:jc w:val="center"/>
      </w:pPr>
    </w:p>
    <w:p w:rsidR="00951B40" w:rsidRPr="00091C10" w:rsidRDefault="00AF5F27">
      <w:pPr>
        <w:pStyle w:val="Standard"/>
        <w:jc w:val="center"/>
        <w:rPr>
          <w:sz w:val="28"/>
        </w:rPr>
      </w:pPr>
      <w:r w:rsidRPr="00091C10">
        <w:rPr>
          <w:sz w:val="28"/>
        </w:rPr>
        <w:t>A</w:t>
      </w:r>
      <w:r w:rsidR="00AB663A" w:rsidRPr="00091C10">
        <w:rPr>
          <w:sz w:val="28"/>
        </w:rPr>
        <w:t xml:space="preserve"> nous retourner </w:t>
      </w:r>
      <w:r w:rsidR="009C38FC" w:rsidRPr="00091C10">
        <w:rPr>
          <w:sz w:val="28"/>
        </w:rPr>
        <w:t>signée par courrier ou par mail</w:t>
      </w:r>
    </w:p>
    <w:p w:rsidR="00951B40" w:rsidRDefault="00951B40">
      <w:pPr>
        <w:pStyle w:val="Standard"/>
      </w:pPr>
    </w:p>
    <w:p w:rsidR="00173F98" w:rsidRDefault="00173F98">
      <w:pPr>
        <w:pStyle w:val="Standard"/>
      </w:pPr>
    </w:p>
    <w:p w:rsidR="00AA3488" w:rsidRDefault="00AA3488">
      <w:pPr>
        <w:pStyle w:val="Standard"/>
      </w:pPr>
    </w:p>
    <w:p w:rsidR="00951B40" w:rsidRDefault="00AB663A">
      <w:pPr>
        <w:pStyle w:val="Standard"/>
        <w:rPr>
          <w:sz w:val="40"/>
          <w:szCs w:val="40"/>
        </w:rPr>
      </w:pPr>
      <w:r>
        <w:t>Nom de</w:t>
      </w:r>
      <w:r w:rsidR="00173F98">
        <w:t xml:space="preserve"> </w:t>
      </w:r>
      <w:r>
        <w:t>l'emprunteur :............................</w:t>
      </w:r>
      <w:r w:rsidR="003C5DE7">
        <w:t>................</w:t>
      </w:r>
      <w:r>
        <w:t>.................................................................................</w:t>
      </w:r>
    </w:p>
    <w:p w:rsidR="00951B40" w:rsidRDefault="00951B40">
      <w:pPr>
        <w:pStyle w:val="Standard"/>
      </w:pPr>
    </w:p>
    <w:p w:rsidR="00951B40" w:rsidRDefault="00AB663A">
      <w:pPr>
        <w:pStyle w:val="Standard"/>
      </w:pPr>
      <w:r>
        <w:t>Adresse :.................................................................</w:t>
      </w:r>
      <w:r w:rsidR="003C5DE7">
        <w:t>...............</w:t>
      </w:r>
      <w:r>
        <w:t>..................</w:t>
      </w:r>
      <w:r w:rsidR="003C5DE7">
        <w:t>.</w:t>
      </w:r>
      <w:r>
        <w:t>...............................................</w:t>
      </w:r>
    </w:p>
    <w:p w:rsidR="00951B40" w:rsidRDefault="00951B40">
      <w:pPr>
        <w:pStyle w:val="Standard"/>
      </w:pPr>
    </w:p>
    <w:p w:rsidR="00951B40" w:rsidRDefault="00AB663A">
      <w:pPr>
        <w:pStyle w:val="Standard"/>
      </w:pPr>
      <w:r>
        <w:t>Nom du responsable :...............................................................</w:t>
      </w:r>
      <w:r w:rsidR="003C5DE7">
        <w:t>...............</w:t>
      </w:r>
      <w:r>
        <w:t>.. Tél :......................................</w:t>
      </w:r>
    </w:p>
    <w:p w:rsidR="00951B40" w:rsidRDefault="00951B40">
      <w:pPr>
        <w:pStyle w:val="Standard"/>
      </w:pPr>
    </w:p>
    <w:p w:rsidR="00951B40" w:rsidRDefault="00AB663A">
      <w:pPr>
        <w:pStyle w:val="Standard"/>
      </w:pPr>
      <w:r>
        <w:t>Lieux de la manifestation :...............................</w:t>
      </w:r>
      <w:r w:rsidR="003C5DE7">
        <w:t>...............</w:t>
      </w:r>
      <w:r>
        <w:t>........................................................................</w:t>
      </w:r>
    </w:p>
    <w:p w:rsidR="00951B40" w:rsidRDefault="00951B40">
      <w:pPr>
        <w:pStyle w:val="Standard"/>
      </w:pPr>
    </w:p>
    <w:p w:rsidR="00951B40" w:rsidRDefault="0078689B">
      <w:pPr>
        <w:pStyle w:val="Standard"/>
      </w:pPr>
      <w:r>
        <w:t>P</w:t>
      </w:r>
      <w:r w:rsidR="00AB663A">
        <w:t>ris en charge le </w:t>
      </w:r>
      <w:r>
        <w:t xml:space="preserve">(jour et heure) </w:t>
      </w:r>
      <w:r w:rsidR="00AB663A">
        <w:t>:...................</w:t>
      </w:r>
      <w:r w:rsidR="003C5DE7">
        <w:t>.......</w:t>
      </w:r>
      <w:r w:rsidR="00AB663A">
        <w:t>......</w:t>
      </w:r>
      <w:r w:rsidR="00BF4F90">
        <w:t xml:space="preserve"> </w:t>
      </w:r>
      <w:r>
        <w:t>R</w:t>
      </w:r>
      <w:r w:rsidR="00AB663A">
        <w:t>etour le </w:t>
      </w:r>
      <w:r>
        <w:t xml:space="preserve">(jour et heure) </w:t>
      </w:r>
      <w:r w:rsidR="00AB663A">
        <w:t>:...............................</w:t>
      </w:r>
      <w:r w:rsidR="003C5DE7">
        <w:t>.</w:t>
      </w:r>
      <w:r w:rsidR="00AB663A">
        <w:t>...</w:t>
      </w:r>
    </w:p>
    <w:p w:rsidR="00951B40" w:rsidRDefault="00951B40">
      <w:pPr>
        <w:pStyle w:val="Standard"/>
      </w:pPr>
    </w:p>
    <w:p w:rsidR="00951B40" w:rsidRDefault="00AB663A">
      <w:pPr>
        <w:pStyle w:val="Standard"/>
      </w:pPr>
      <w:r>
        <w:t>Structures loué</w:t>
      </w:r>
      <w:r w:rsidR="005C0669">
        <w:t>e</w:t>
      </w:r>
      <w:r>
        <w:t>s :</w:t>
      </w:r>
    </w:p>
    <w:p w:rsidR="00951B40" w:rsidRDefault="00951B40">
      <w:pPr>
        <w:pStyle w:val="Standard"/>
      </w:pPr>
    </w:p>
    <w:p w:rsidR="00951B40" w:rsidRDefault="00AB663A">
      <w:pPr>
        <w:pStyle w:val="Standard"/>
        <w:tabs>
          <w:tab w:val="left" w:pos="717"/>
          <w:tab w:val="left" w:pos="1448"/>
          <w:tab w:val="left" w:pos="5641"/>
        </w:tabs>
        <w:rPr>
          <w:sz w:val="40"/>
          <w:szCs w:val="40"/>
        </w:rPr>
      </w:pPr>
      <w:r>
        <w:rPr>
          <w:rFonts w:eastAsia="Times New Roman" w:cs="Times New Roman"/>
        </w:rPr>
        <w:t xml:space="preserve">□ Bloc bleu </w:t>
      </w:r>
      <w:r w:rsidR="00A62419">
        <w:rPr>
          <w:rFonts w:eastAsia="Times New Roman" w:cs="Times New Roman"/>
        </w:rPr>
        <w:t xml:space="preserve">    </w:t>
      </w:r>
      <w:r>
        <w:rPr>
          <w:rFonts w:eastAsia="Times New Roman" w:cs="Times New Roman"/>
        </w:rPr>
        <w:t>(volume positif)</w:t>
      </w:r>
      <w:r>
        <w:rPr>
          <w:rFonts w:eastAsia="Times New Roman" w:cs="Times New Roman"/>
        </w:rPr>
        <w:tab/>
        <w:t>□ Bloc VOL</w:t>
      </w:r>
    </w:p>
    <w:p w:rsidR="00951B40" w:rsidRDefault="00AB663A">
      <w:pPr>
        <w:pStyle w:val="Standard"/>
        <w:tabs>
          <w:tab w:val="left" w:pos="1407"/>
          <w:tab w:val="left" w:pos="5641"/>
        </w:tabs>
        <w:rPr>
          <w:sz w:val="40"/>
          <w:szCs w:val="40"/>
        </w:rPr>
      </w:pPr>
      <w:r>
        <w:rPr>
          <w:rFonts w:eastAsia="Times New Roman" w:cs="Times New Roman"/>
        </w:rPr>
        <w:t>□ Bloc blanc</w:t>
      </w:r>
      <w:r>
        <w:rPr>
          <w:rFonts w:eastAsia="Times New Roman" w:cs="Times New Roman"/>
        </w:rPr>
        <w:tab/>
        <w:t>(volume toit et volume devers)</w:t>
      </w:r>
      <w:r>
        <w:rPr>
          <w:rFonts w:eastAsia="Times New Roman" w:cs="Times New Roman"/>
        </w:rPr>
        <w:tab/>
        <w:t>□ Bloc CR</w:t>
      </w:r>
    </w:p>
    <w:p w:rsidR="00951B40" w:rsidRDefault="00AB663A">
      <w:pPr>
        <w:pStyle w:val="Standard"/>
        <w:tabs>
          <w:tab w:val="left" w:pos="1407"/>
          <w:tab w:val="left" w:pos="5655"/>
        </w:tabs>
        <w:rPr>
          <w:sz w:val="40"/>
          <w:szCs w:val="40"/>
        </w:rPr>
      </w:pPr>
      <w:r>
        <w:rPr>
          <w:rFonts w:eastAsia="Times New Roman" w:cs="Times New Roman"/>
        </w:rPr>
        <w:t xml:space="preserve">□ Bloc jaune </w:t>
      </w:r>
      <w:r>
        <w:rPr>
          <w:rFonts w:eastAsia="Times New Roman" w:cs="Times New Roman"/>
        </w:rPr>
        <w:tab/>
        <w:t>(sans volume)</w:t>
      </w:r>
      <w:r>
        <w:rPr>
          <w:rFonts w:eastAsia="Times New Roman" w:cs="Times New Roman"/>
        </w:rPr>
        <w:tab/>
        <w:t>□ Arche</w:t>
      </w:r>
    </w:p>
    <w:p w:rsidR="00FD4DBA" w:rsidRDefault="00FD4DBA">
      <w:pPr>
        <w:pStyle w:val="Standard"/>
        <w:tabs>
          <w:tab w:val="left" w:pos="1407"/>
        </w:tabs>
        <w:rPr>
          <w:rFonts w:eastAsia="Times New Roman" w:cs="Times New Roman"/>
        </w:rPr>
      </w:pPr>
    </w:p>
    <w:p w:rsidR="00951B40" w:rsidRDefault="00AB663A" w:rsidP="00752619">
      <w:pPr>
        <w:pStyle w:val="Standard"/>
        <w:tabs>
          <w:tab w:val="left" w:pos="1407"/>
        </w:tabs>
        <w:jc w:val="center"/>
        <w:rPr>
          <w:rFonts w:eastAsia="Times New Roman" w:cs="Times New Roman"/>
          <w:b/>
          <w:bCs/>
          <w:u w:val="single"/>
        </w:rPr>
      </w:pPr>
      <w:r>
        <w:rPr>
          <w:rFonts w:eastAsia="Times New Roman" w:cs="Times New Roman"/>
          <w:b/>
          <w:bCs/>
          <w:u w:val="single"/>
        </w:rPr>
        <w:t>HOMOLOGATION</w:t>
      </w:r>
    </w:p>
    <w:p w:rsidR="00951B40" w:rsidRDefault="00951B40">
      <w:pPr>
        <w:pStyle w:val="Standard"/>
        <w:tabs>
          <w:tab w:val="left" w:pos="1407"/>
        </w:tabs>
        <w:rPr>
          <w:rFonts w:eastAsia="Times New Roman" w:cs="Times New Roman"/>
        </w:rPr>
      </w:pPr>
    </w:p>
    <w:p w:rsidR="00951B40" w:rsidRDefault="00AB663A" w:rsidP="00305584">
      <w:pPr>
        <w:pStyle w:val="Standard"/>
        <w:tabs>
          <w:tab w:val="left" w:pos="1407"/>
        </w:tabs>
        <w:jc w:val="both"/>
        <w:rPr>
          <w:b/>
          <w:bCs/>
          <w:sz w:val="40"/>
          <w:szCs w:val="40"/>
          <w:u w:val="single"/>
        </w:rPr>
      </w:pPr>
      <w:r>
        <w:rPr>
          <w:rFonts w:eastAsia="Times New Roman" w:cs="Times New Roman"/>
        </w:rPr>
        <w:t>La tour est conçu</w:t>
      </w:r>
      <w:r w:rsidR="003C5220">
        <w:rPr>
          <w:rFonts w:eastAsia="Times New Roman" w:cs="Times New Roman"/>
        </w:rPr>
        <w:t>e</w:t>
      </w:r>
      <w:r>
        <w:rPr>
          <w:rFonts w:eastAsia="Times New Roman" w:cs="Times New Roman"/>
        </w:rPr>
        <w:t xml:space="preserve"> pour être montée avec des éléments (ou blocs) de deux mètre</w:t>
      </w:r>
      <w:r w:rsidR="004D58D2">
        <w:rPr>
          <w:rFonts w:eastAsia="Times New Roman" w:cs="Times New Roman"/>
        </w:rPr>
        <w:t>s</w:t>
      </w:r>
      <w:r>
        <w:rPr>
          <w:rFonts w:eastAsia="Times New Roman" w:cs="Times New Roman"/>
        </w:rPr>
        <w:t xml:space="preserve"> cinquante (2m50) de hauteur superposés.</w:t>
      </w:r>
      <w:r w:rsidR="0027691A">
        <w:rPr>
          <w:rFonts w:eastAsia="Times New Roman" w:cs="Times New Roman"/>
        </w:rPr>
        <w:t xml:space="preserve"> </w:t>
      </w:r>
      <w:r w:rsidR="000E3A73">
        <w:rPr>
          <w:rFonts w:eastAsia="Times New Roman" w:cs="Times New Roman"/>
        </w:rPr>
        <w:t>Actuellement, le</w:t>
      </w:r>
      <w:r>
        <w:rPr>
          <w:rFonts w:eastAsia="Times New Roman" w:cs="Times New Roman"/>
        </w:rPr>
        <w:t xml:space="preserve"> constructeur n'est pas en mesure de délivrer un certificat de conformité aux normes et il n'est pas envisageable de l'utiliser dans ces conditions.</w:t>
      </w:r>
      <w:r w:rsidR="0027691A">
        <w:rPr>
          <w:rFonts w:eastAsia="Times New Roman" w:cs="Times New Roman"/>
        </w:rPr>
        <w:t xml:space="preserve"> </w:t>
      </w:r>
      <w:r>
        <w:rPr>
          <w:rFonts w:eastAsia="Times New Roman" w:cs="Times New Roman"/>
        </w:rPr>
        <w:t>L’association Vertical Ouest Loisirs met donc à disposition les éléments (blocs hexagonaux bleu</w:t>
      </w:r>
      <w:r w:rsidR="00305584">
        <w:rPr>
          <w:rFonts w:eastAsia="Times New Roman" w:cs="Times New Roman"/>
        </w:rPr>
        <w:t xml:space="preserve">, </w:t>
      </w:r>
      <w:r>
        <w:rPr>
          <w:rFonts w:eastAsia="Times New Roman" w:cs="Times New Roman"/>
        </w:rPr>
        <w:t xml:space="preserve">blanc et jaune) </w:t>
      </w:r>
      <w:r w:rsidR="00956CB7">
        <w:rPr>
          <w:rFonts w:eastAsia="Times New Roman" w:cs="Times New Roman"/>
        </w:rPr>
        <w:t xml:space="preserve">de manière </w:t>
      </w:r>
      <w:r>
        <w:rPr>
          <w:rFonts w:eastAsia="Times New Roman" w:cs="Times New Roman"/>
        </w:rPr>
        <w:t>séparés</w:t>
      </w:r>
      <w:r w:rsidR="00B86FE7">
        <w:rPr>
          <w:rFonts w:eastAsia="Times New Roman" w:cs="Times New Roman"/>
        </w:rPr>
        <w:t> :</w:t>
      </w:r>
      <w:r>
        <w:rPr>
          <w:rFonts w:eastAsia="Times New Roman" w:cs="Times New Roman"/>
        </w:rPr>
        <w:t xml:space="preserve"> l'emprunteur s'engage à utiliser les blocs de deux mètre</w:t>
      </w:r>
      <w:r w:rsidR="004D58D2">
        <w:rPr>
          <w:rFonts w:eastAsia="Times New Roman" w:cs="Times New Roman"/>
        </w:rPr>
        <w:t>s</w:t>
      </w:r>
      <w:r>
        <w:rPr>
          <w:rFonts w:eastAsia="Times New Roman" w:cs="Times New Roman"/>
        </w:rPr>
        <w:t xml:space="preserve"> cinquante (2m50) </w:t>
      </w:r>
      <w:r>
        <w:rPr>
          <w:rFonts w:eastAsia="Times New Roman" w:cs="Times New Roman"/>
          <w:b/>
          <w:bCs/>
        </w:rPr>
        <w:t>montés séparément</w:t>
      </w:r>
      <w:r w:rsidR="00C64F89" w:rsidRPr="00C64F89">
        <w:rPr>
          <w:rFonts w:eastAsia="Times New Roman" w:cs="Times New Roman"/>
          <w:bCs/>
        </w:rPr>
        <w:t xml:space="preserve">, </w:t>
      </w:r>
      <w:r w:rsidR="00C64F89">
        <w:rPr>
          <w:rFonts w:eastAsia="Times New Roman" w:cs="Times New Roman"/>
        </w:rPr>
        <w:t>conformément au mode opératoire fourni</w:t>
      </w:r>
      <w:r>
        <w:rPr>
          <w:rFonts w:eastAsia="Times New Roman" w:cs="Times New Roman"/>
        </w:rPr>
        <w:t xml:space="preserve">. Ceux-ci présentant </w:t>
      </w:r>
      <w:r w:rsidR="009A6465">
        <w:rPr>
          <w:rFonts w:eastAsia="Times New Roman" w:cs="Times New Roman"/>
        </w:rPr>
        <w:t xml:space="preserve">dans ce cas </w:t>
      </w:r>
      <w:r>
        <w:rPr>
          <w:rFonts w:eastAsia="Times New Roman" w:cs="Times New Roman"/>
        </w:rPr>
        <w:t>des conditions de solidité et de stabilité satisfaisantes.</w:t>
      </w:r>
    </w:p>
    <w:p w:rsidR="00951B40" w:rsidRDefault="00951B40" w:rsidP="00305584">
      <w:pPr>
        <w:pStyle w:val="Standard"/>
        <w:tabs>
          <w:tab w:val="left" w:pos="1407"/>
        </w:tabs>
        <w:jc w:val="both"/>
        <w:rPr>
          <w:rFonts w:eastAsia="Times New Roman" w:cs="Times New Roman"/>
        </w:rPr>
      </w:pPr>
    </w:p>
    <w:p w:rsidR="00951B40" w:rsidRDefault="00AB663A" w:rsidP="00305584">
      <w:pPr>
        <w:pStyle w:val="Standard"/>
        <w:tabs>
          <w:tab w:val="left" w:pos="1407"/>
        </w:tabs>
        <w:jc w:val="both"/>
        <w:rPr>
          <w:rFonts w:eastAsia="Times New Roman" w:cs="Times New Roman"/>
        </w:rPr>
      </w:pPr>
      <w:r>
        <w:rPr>
          <w:rFonts w:eastAsia="Times New Roman" w:cs="Times New Roman"/>
        </w:rPr>
        <w:t xml:space="preserve">Le bloc VOL a été </w:t>
      </w:r>
      <w:r w:rsidR="00715D2A">
        <w:rPr>
          <w:rFonts w:eastAsia="Times New Roman" w:cs="Times New Roman"/>
        </w:rPr>
        <w:t>construit</w:t>
      </w:r>
      <w:r>
        <w:rPr>
          <w:rFonts w:eastAsia="Times New Roman" w:cs="Times New Roman"/>
        </w:rPr>
        <w:t xml:space="preserve"> par des bénévoles et ne possède donc pas de certificat de conformité aux normes mais présente des conditions de solidité et de stabilité satisfaisantes.</w:t>
      </w:r>
      <w:r w:rsidR="005A2225">
        <w:rPr>
          <w:rFonts w:eastAsia="Times New Roman" w:cs="Times New Roman"/>
        </w:rPr>
        <w:t xml:space="preserve"> Il nécessite toutefois d’être lesté lorsqu’il est utilisé seul</w:t>
      </w:r>
      <w:r w:rsidR="005A043D">
        <w:rPr>
          <w:rFonts w:eastAsia="Times New Roman" w:cs="Times New Roman"/>
        </w:rPr>
        <w:t>, pour éviter tout risque de basculement</w:t>
      </w:r>
      <w:r w:rsidR="005A2225">
        <w:rPr>
          <w:rFonts w:eastAsia="Times New Roman" w:cs="Times New Roman"/>
        </w:rPr>
        <w:t>.</w:t>
      </w:r>
    </w:p>
    <w:p w:rsidR="00951B40" w:rsidRDefault="00951B40" w:rsidP="00305584">
      <w:pPr>
        <w:pStyle w:val="Standard"/>
        <w:tabs>
          <w:tab w:val="left" w:pos="1407"/>
        </w:tabs>
        <w:jc w:val="both"/>
        <w:rPr>
          <w:rFonts w:eastAsia="Times New Roman" w:cs="Times New Roman"/>
        </w:rPr>
      </w:pPr>
    </w:p>
    <w:p w:rsidR="00951B40" w:rsidRDefault="00AB663A" w:rsidP="00305584">
      <w:pPr>
        <w:pStyle w:val="Standard"/>
        <w:tabs>
          <w:tab w:val="left" w:pos="1407"/>
        </w:tabs>
        <w:jc w:val="both"/>
        <w:rPr>
          <w:rFonts w:eastAsia="Times New Roman" w:cs="Times New Roman"/>
        </w:rPr>
      </w:pPr>
      <w:r>
        <w:rPr>
          <w:rFonts w:eastAsia="Times New Roman" w:cs="Times New Roman"/>
        </w:rPr>
        <w:t xml:space="preserve">Le bloc CR a été </w:t>
      </w:r>
      <w:r w:rsidR="00715D2A">
        <w:rPr>
          <w:rFonts w:eastAsia="Times New Roman" w:cs="Times New Roman"/>
        </w:rPr>
        <w:t>construit</w:t>
      </w:r>
      <w:r>
        <w:rPr>
          <w:rFonts w:eastAsia="Times New Roman" w:cs="Times New Roman"/>
        </w:rPr>
        <w:t xml:space="preserve"> par des bénévoles et ne possède donc pas de certificat de conformité aux normes mais présente des conditions de solidité et de stabilité satisfaisantes.</w:t>
      </w:r>
      <w:r w:rsidR="005A2225" w:rsidRPr="005A2225">
        <w:rPr>
          <w:rFonts w:eastAsia="Times New Roman" w:cs="Times New Roman"/>
        </w:rPr>
        <w:t xml:space="preserve"> </w:t>
      </w:r>
      <w:r w:rsidR="005A2225">
        <w:rPr>
          <w:rFonts w:eastAsia="Times New Roman" w:cs="Times New Roman"/>
        </w:rPr>
        <w:t>Il nécessite toutefois d’être lesté lorsqu’il est utilisé seul</w:t>
      </w:r>
      <w:r w:rsidR="005A043D">
        <w:rPr>
          <w:rFonts w:eastAsia="Times New Roman" w:cs="Times New Roman"/>
        </w:rPr>
        <w:t>, pour éviter tout risque de basculement</w:t>
      </w:r>
      <w:r w:rsidR="00980D87">
        <w:rPr>
          <w:rFonts w:eastAsia="Times New Roman" w:cs="Times New Roman"/>
        </w:rPr>
        <w:t>.</w:t>
      </w:r>
    </w:p>
    <w:p w:rsidR="005A2225" w:rsidRDefault="005A2225" w:rsidP="00305584">
      <w:pPr>
        <w:pStyle w:val="Standard"/>
        <w:tabs>
          <w:tab w:val="left" w:pos="1407"/>
        </w:tabs>
        <w:jc w:val="both"/>
        <w:rPr>
          <w:rFonts w:eastAsia="Times New Roman" w:cs="Times New Roman"/>
        </w:rPr>
      </w:pPr>
    </w:p>
    <w:p w:rsidR="00951B40" w:rsidRDefault="00AB663A" w:rsidP="00305584">
      <w:pPr>
        <w:pStyle w:val="Standard"/>
        <w:tabs>
          <w:tab w:val="left" w:pos="1407"/>
        </w:tabs>
        <w:jc w:val="both"/>
        <w:rPr>
          <w:rFonts w:eastAsia="Times New Roman" w:cs="Times New Roman"/>
        </w:rPr>
      </w:pPr>
      <w:r>
        <w:rPr>
          <w:rFonts w:eastAsia="Times New Roman" w:cs="Times New Roman"/>
        </w:rPr>
        <w:t xml:space="preserve">L’Arche a été </w:t>
      </w:r>
      <w:r w:rsidR="00715D2A">
        <w:rPr>
          <w:rFonts w:eastAsia="Times New Roman" w:cs="Times New Roman"/>
        </w:rPr>
        <w:t>con</w:t>
      </w:r>
      <w:r w:rsidR="009F5AF8">
        <w:rPr>
          <w:rFonts w:eastAsia="Times New Roman" w:cs="Times New Roman"/>
        </w:rPr>
        <w:t>s</w:t>
      </w:r>
      <w:r w:rsidR="00715D2A">
        <w:rPr>
          <w:rFonts w:eastAsia="Times New Roman" w:cs="Times New Roman"/>
        </w:rPr>
        <w:t>truite</w:t>
      </w:r>
      <w:r>
        <w:rPr>
          <w:rFonts w:eastAsia="Times New Roman" w:cs="Times New Roman"/>
        </w:rPr>
        <w:t xml:space="preserve"> par des bénévoles et ne possède donc pas de certificat de conformité aux normes mais présente des conditions de solidité et de stabilité satisfaisantes.</w:t>
      </w:r>
    </w:p>
    <w:p w:rsidR="0027691A" w:rsidRDefault="0027691A">
      <w:pPr>
        <w:pStyle w:val="Standard"/>
        <w:tabs>
          <w:tab w:val="left" w:pos="1407"/>
        </w:tabs>
        <w:rPr>
          <w:rFonts w:eastAsia="Times New Roman" w:cs="Times New Roman"/>
        </w:rPr>
      </w:pPr>
    </w:p>
    <w:p w:rsidR="00267278" w:rsidRDefault="00267278">
      <w:pPr>
        <w:pStyle w:val="Standard"/>
        <w:tabs>
          <w:tab w:val="left" w:pos="1407"/>
        </w:tabs>
        <w:rPr>
          <w:rFonts w:eastAsia="Times New Roman" w:cs="Times New Roman"/>
        </w:rPr>
      </w:pPr>
    </w:p>
    <w:p w:rsidR="00951B40" w:rsidRDefault="00AB663A" w:rsidP="00752619">
      <w:pPr>
        <w:pStyle w:val="Standard"/>
        <w:tabs>
          <w:tab w:val="left" w:pos="1407"/>
        </w:tabs>
        <w:jc w:val="center"/>
        <w:rPr>
          <w:rFonts w:eastAsia="Times New Roman" w:cs="Times New Roman"/>
          <w:b/>
          <w:bCs/>
          <w:u w:val="single"/>
        </w:rPr>
      </w:pPr>
      <w:r>
        <w:rPr>
          <w:rFonts w:eastAsia="Times New Roman" w:cs="Times New Roman"/>
          <w:b/>
          <w:bCs/>
          <w:u w:val="single"/>
        </w:rPr>
        <w:lastRenderedPageBreak/>
        <w:t>MONTAGE</w:t>
      </w:r>
    </w:p>
    <w:p w:rsidR="00951B40" w:rsidRDefault="00951B40">
      <w:pPr>
        <w:pStyle w:val="Standard"/>
        <w:tabs>
          <w:tab w:val="left" w:pos="1407"/>
        </w:tabs>
        <w:rPr>
          <w:rFonts w:eastAsia="Times New Roman" w:cs="Times New Roman"/>
        </w:rPr>
      </w:pPr>
    </w:p>
    <w:p w:rsidR="00951B40" w:rsidRDefault="00AB663A" w:rsidP="004A2830">
      <w:pPr>
        <w:pStyle w:val="Standard"/>
        <w:tabs>
          <w:tab w:val="left" w:pos="1407"/>
        </w:tabs>
        <w:jc w:val="both"/>
        <w:rPr>
          <w:rFonts w:eastAsia="Times New Roman" w:cs="Times New Roman"/>
        </w:rPr>
      </w:pPr>
      <w:r>
        <w:rPr>
          <w:rFonts w:eastAsia="Times New Roman" w:cs="Times New Roman"/>
        </w:rPr>
        <w:t xml:space="preserve">Les plans de montage des </w:t>
      </w:r>
      <w:r w:rsidR="002A314C">
        <w:rPr>
          <w:rFonts w:eastAsia="Times New Roman" w:cs="Times New Roman"/>
        </w:rPr>
        <w:t>blocs hexagonaux</w:t>
      </w:r>
      <w:r>
        <w:rPr>
          <w:rFonts w:eastAsia="Times New Roman" w:cs="Times New Roman"/>
        </w:rPr>
        <w:t xml:space="preserve"> se trouvent en annexe de cette convention.</w:t>
      </w:r>
    </w:p>
    <w:p w:rsidR="00096D89" w:rsidRDefault="00096D89" w:rsidP="004A2830">
      <w:pPr>
        <w:pStyle w:val="Standard"/>
        <w:tabs>
          <w:tab w:val="left" w:pos="1407"/>
        </w:tabs>
        <w:jc w:val="both"/>
        <w:rPr>
          <w:rFonts w:eastAsia="Times New Roman" w:cs="Times New Roman"/>
        </w:rPr>
      </w:pPr>
    </w:p>
    <w:p w:rsidR="00951B40" w:rsidRDefault="00AB663A" w:rsidP="004A2830">
      <w:pPr>
        <w:pStyle w:val="Standard"/>
        <w:tabs>
          <w:tab w:val="left" w:pos="1407"/>
        </w:tabs>
        <w:jc w:val="both"/>
        <w:rPr>
          <w:rFonts w:eastAsia="Times New Roman" w:cs="Times New Roman"/>
          <w:b/>
        </w:rPr>
      </w:pPr>
      <w:r w:rsidRPr="00A649E3">
        <w:rPr>
          <w:rFonts w:eastAsia="Times New Roman" w:cs="Times New Roman"/>
          <w:b/>
          <w:bCs/>
        </w:rPr>
        <w:t>Attention</w:t>
      </w:r>
      <w:r w:rsidR="00977491" w:rsidRPr="00A649E3">
        <w:rPr>
          <w:rFonts w:eastAsia="Times New Roman" w:cs="Times New Roman"/>
          <w:b/>
          <w:bCs/>
        </w:rPr>
        <w:t xml:space="preserve"> </w:t>
      </w:r>
      <w:r w:rsidRPr="00A649E3">
        <w:rPr>
          <w:rFonts w:eastAsia="Times New Roman" w:cs="Times New Roman"/>
          <w:b/>
        </w:rPr>
        <w:t>:</w:t>
      </w:r>
      <w:r w:rsidR="00977491" w:rsidRPr="00A649E3">
        <w:rPr>
          <w:rFonts w:eastAsia="Times New Roman" w:cs="Times New Roman"/>
          <w:b/>
        </w:rPr>
        <w:t xml:space="preserve"> c</w:t>
      </w:r>
      <w:r w:rsidRPr="00A649E3">
        <w:rPr>
          <w:rFonts w:eastAsia="Times New Roman" w:cs="Times New Roman"/>
          <w:b/>
        </w:rPr>
        <w:t>ertains modules pèsent près de 200kg et nécessitent des précautions particulières pour leur montage en matière de protection des personnes.</w:t>
      </w:r>
    </w:p>
    <w:p w:rsidR="008E05B9" w:rsidRDefault="008E05B9" w:rsidP="004A2830">
      <w:pPr>
        <w:pStyle w:val="Standard"/>
        <w:tabs>
          <w:tab w:val="left" w:pos="1407"/>
        </w:tabs>
        <w:jc w:val="both"/>
        <w:rPr>
          <w:rFonts w:eastAsia="Times New Roman" w:cs="Times New Roman"/>
          <w:b/>
        </w:rPr>
      </w:pPr>
    </w:p>
    <w:p w:rsidR="009A6708" w:rsidRDefault="009A6708" w:rsidP="004A2830">
      <w:pPr>
        <w:pStyle w:val="Standard"/>
        <w:tabs>
          <w:tab w:val="left" w:pos="1407"/>
        </w:tabs>
        <w:jc w:val="both"/>
        <w:rPr>
          <w:rFonts w:eastAsia="Times New Roman" w:cs="Times New Roman"/>
          <w:b/>
        </w:rPr>
      </w:pPr>
    </w:p>
    <w:p w:rsidR="00951B40" w:rsidRPr="00752619" w:rsidRDefault="00752619" w:rsidP="00752619">
      <w:pPr>
        <w:pStyle w:val="Standard"/>
        <w:tabs>
          <w:tab w:val="left" w:pos="4952"/>
          <w:tab w:val="left" w:pos="6290"/>
        </w:tabs>
        <w:ind w:left="3545"/>
        <w:rPr>
          <w:b/>
          <w:bCs/>
          <w:szCs w:val="32"/>
          <w:u w:val="single"/>
        </w:rPr>
      </w:pPr>
      <w:r>
        <w:rPr>
          <w:rFonts w:eastAsia="Times New Roman" w:cs="Times New Roman"/>
          <w:b/>
          <w:bCs/>
          <w:szCs w:val="32"/>
          <w:u w:val="single"/>
        </w:rPr>
        <w:t>CONDITIONS GENERALES</w:t>
      </w:r>
    </w:p>
    <w:p w:rsidR="00951B40" w:rsidRDefault="00951B40">
      <w:pPr>
        <w:pStyle w:val="Standard"/>
        <w:tabs>
          <w:tab w:val="left" w:pos="1407"/>
        </w:tabs>
        <w:jc w:val="center"/>
        <w:rPr>
          <w:rFonts w:eastAsia="Times New Roman" w:cs="Times New Roman"/>
          <w:sz w:val="28"/>
          <w:szCs w:val="28"/>
        </w:rPr>
      </w:pPr>
    </w:p>
    <w:p w:rsidR="00951B40" w:rsidRDefault="00AB663A" w:rsidP="006122F8">
      <w:pPr>
        <w:pStyle w:val="Standard"/>
        <w:numPr>
          <w:ilvl w:val="0"/>
          <w:numId w:val="1"/>
        </w:numPr>
        <w:tabs>
          <w:tab w:val="left" w:pos="426"/>
        </w:tabs>
        <w:rPr>
          <w:rFonts w:eastAsia="Times New Roman" w:cs="Times New Roman"/>
          <w:b/>
          <w:bCs/>
          <w:sz w:val="28"/>
          <w:szCs w:val="28"/>
        </w:rPr>
      </w:pPr>
      <w:r>
        <w:rPr>
          <w:rFonts w:eastAsia="Times New Roman" w:cs="Times New Roman"/>
          <w:b/>
          <w:bCs/>
          <w:sz w:val="28"/>
          <w:szCs w:val="28"/>
        </w:rPr>
        <w:t>Durée de la convention</w:t>
      </w:r>
    </w:p>
    <w:p w:rsidR="00951B40" w:rsidRDefault="00951B40">
      <w:pPr>
        <w:pStyle w:val="Standard"/>
        <w:tabs>
          <w:tab w:val="left" w:pos="1407"/>
        </w:tabs>
        <w:rPr>
          <w:rFonts w:eastAsia="Times New Roman" w:cs="Times New Roman"/>
          <w:b/>
          <w:bCs/>
        </w:rPr>
      </w:pPr>
    </w:p>
    <w:p w:rsidR="00951B40" w:rsidRDefault="00AB663A">
      <w:pPr>
        <w:pStyle w:val="Standard"/>
        <w:tabs>
          <w:tab w:val="left" w:pos="1407"/>
        </w:tabs>
        <w:rPr>
          <w:rFonts w:eastAsia="Times New Roman" w:cs="Times New Roman"/>
        </w:rPr>
      </w:pPr>
      <w:r>
        <w:rPr>
          <w:rFonts w:eastAsia="Times New Roman" w:cs="Times New Roman"/>
        </w:rPr>
        <w:t>Le matériel est mis à disposition du …........................................ au …........................................</w:t>
      </w:r>
    </w:p>
    <w:p w:rsidR="00951B40" w:rsidRDefault="00951B40">
      <w:pPr>
        <w:pStyle w:val="Standard"/>
        <w:tabs>
          <w:tab w:val="left" w:pos="1407"/>
        </w:tabs>
        <w:rPr>
          <w:rFonts w:eastAsia="Times New Roman" w:cs="Times New Roman"/>
        </w:rPr>
      </w:pPr>
    </w:p>
    <w:p w:rsidR="00951B40" w:rsidRDefault="00AB663A" w:rsidP="006122F8">
      <w:pPr>
        <w:pStyle w:val="Standard"/>
        <w:numPr>
          <w:ilvl w:val="0"/>
          <w:numId w:val="1"/>
        </w:numPr>
        <w:tabs>
          <w:tab w:val="left" w:pos="426"/>
        </w:tabs>
        <w:rPr>
          <w:rFonts w:eastAsia="Times New Roman" w:cs="Times New Roman"/>
          <w:b/>
          <w:bCs/>
          <w:sz w:val="28"/>
          <w:szCs w:val="28"/>
        </w:rPr>
      </w:pPr>
      <w:r>
        <w:rPr>
          <w:rFonts w:eastAsia="Times New Roman" w:cs="Times New Roman"/>
          <w:b/>
          <w:bCs/>
          <w:sz w:val="28"/>
          <w:szCs w:val="28"/>
        </w:rPr>
        <w:t>Transport</w:t>
      </w:r>
    </w:p>
    <w:p w:rsidR="00951B40" w:rsidRDefault="00951B40">
      <w:pPr>
        <w:pStyle w:val="Standard"/>
        <w:tabs>
          <w:tab w:val="left" w:pos="1407"/>
        </w:tabs>
        <w:rPr>
          <w:rFonts w:eastAsia="Times New Roman" w:cs="Times New Roman"/>
        </w:rPr>
      </w:pPr>
    </w:p>
    <w:p w:rsidR="00951B40" w:rsidRDefault="00AB663A" w:rsidP="00B168A6">
      <w:pPr>
        <w:pStyle w:val="Standard"/>
        <w:tabs>
          <w:tab w:val="left" w:pos="1407"/>
        </w:tabs>
        <w:jc w:val="both"/>
        <w:rPr>
          <w:rFonts w:eastAsia="Times New Roman" w:cs="Times New Roman"/>
        </w:rPr>
      </w:pPr>
      <w:r>
        <w:rPr>
          <w:rFonts w:eastAsia="Times New Roman" w:cs="Times New Roman"/>
        </w:rPr>
        <w:t>Le transport aller et retour est à la charge de l'emprunteur (6m3 par bloc morceaux pouvant aller jusqu'à 3m10).</w:t>
      </w:r>
      <w:r w:rsidR="00B168A6">
        <w:rPr>
          <w:rFonts w:eastAsia="Times New Roman" w:cs="Times New Roman"/>
        </w:rPr>
        <w:t xml:space="preserve"> </w:t>
      </w:r>
      <w:r>
        <w:rPr>
          <w:rFonts w:eastAsia="Times New Roman" w:cs="Times New Roman"/>
        </w:rPr>
        <w:t xml:space="preserve">Cinq (5) personnes minimum du club emprunteur seront présentes pour le chargement et le déchargement. Les blocs seront pris en charge dans les locaux de stockage de la Ville de Rennes à Apigné et </w:t>
      </w:r>
      <w:r w:rsidR="00165097">
        <w:rPr>
          <w:rFonts w:eastAsia="Times New Roman" w:cs="Times New Roman"/>
        </w:rPr>
        <w:t>rendus</w:t>
      </w:r>
      <w:r>
        <w:rPr>
          <w:rFonts w:eastAsia="Times New Roman" w:cs="Times New Roman"/>
        </w:rPr>
        <w:t xml:space="preserve"> au même endroit.</w:t>
      </w:r>
    </w:p>
    <w:p w:rsidR="00951B40" w:rsidRDefault="00951B40">
      <w:pPr>
        <w:pStyle w:val="Standard"/>
        <w:tabs>
          <w:tab w:val="left" w:pos="1407"/>
        </w:tabs>
        <w:rPr>
          <w:rFonts w:eastAsia="Times New Roman" w:cs="Times New Roman"/>
        </w:rPr>
      </w:pPr>
    </w:p>
    <w:p w:rsidR="00951B40" w:rsidRDefault="00AB663A" w:rsidP="006122F8">
      <w:pPr>
        <w:pStyle w:val="Standard"/>
        <w:numPr>
          <w:ilvl w:val="0"/>
          <w:numId w:val="1"/>
        </w:numPr>
        <w:tabs>
          <w:tab w:val="left" w:pos="426"/>
        </w:tabs>
        <w:rPr>
          <w:rFonts w:eastAsia="Times New Roman" w:cs="Times New Roman"/>
          <w:b/>
          <w:bCs/>
          <w:sz w:val="28"/>
          <w:szCs w:val="28"/>
        </w:rPr>
      </w:pPr>
      <w:r>
        <w:rPr>
          <w:rFonts w:eastAsia="Times New Roman" w:cs="Times New Roman"/>
          <w:b/>
          <w:bCs/>
          <w:sz w:val="28"/>
          <w:szCs w:val="28"/>
        </w:rPr>
        <w:t>Montage et démontage</w:t>
      </w:r>
    </w:p>
    <w:p w:rsidR="00562346" w:rsidRDefault="00562346" w:rsidP="00D510AA">
      <w:pPr>
        <w:pStyle w:val="Standard"/>
        <w:tabs>
          <w:tab w:val="left" w:pos="1407"/>
        </w:tabs>
        <w:jc w:val="both"/>
        <w:rPr>
          <w:rFonts w:eastAsia="Times New Roman" w:cs="Times New Roman"/>
        </w:rPr>
      </w:pPr>
    </w:p>
    <w:p w:rsidR="00951B40" w:rsidRDefault="00AB663A" w:rsidP="00D510AA">
      <w:pPr>
        <w:pStyle w:val="Standard"/>
        <w:tabs>
          <w:tab w:val="left" w:pos="1407"/>
        </w:tabs>
        <w:jc w:val="both"/>
        <w:rPr>
          <w:rFonts w:eastAsia="Times New Roman" w:cs="Times New Roman"/>
        </w:rPr>
      </w:pPr>
      <w:r>
        <w:rPr>
          <w:rFonts w:eastAsia="Times New Roman" w:cs="Times New Roman"/>
        </w:rPr>
        <w:t>Le montage et le démontage seront réalisés par l'emprunteur</w:t>
      </w:r>
      <w:r w:rsidR="00D42E87">
        <w:rPr>
          <w:rFonts w:eastAsia="Times New Roman" w:cs="Times New Roman"/>
        </w:rPr>
        <w:t>,</w:t>
      </w:r>
      <w:r>
        <w:rPr>
          <w:rFonts w:eastAsia="Times New Roman" w:cs="Times New Roman"/>
        </w:rPr>
        <w:t xml:space="preserve"> hormis arche qui </w:t>
      </w:r>
      <w:r w:rsidR="00D42E87">
        <w:rPr>
          <w:rFonts w:eastAsia="Times New Roman" w:cs="Times New Roman"/>
        </w:rPr>
        <w:t>devra obligatoirement être</w:t>
      </w:r>
      <w:r>
        <w:rPr>
          <w:rFonts w:eastAsia="Times New Roman" w:cs="Times New Roman"/>
        </w:rPr>
        <w:t xml:space="preserve"> montée par des bénévoles de Vertical Ouest Loisir</w:t>
      </w:r>
      <w:r w:rsidR="00F01F34">
        <w:rPr>
          <w:rFonts w:eastAsia="Times New Roman" w:cs="Times New Roman"/>
        </w:rPr>
        <w:t>s</w:t>
      </w:r>
      <w:r>
        <w:rPr>
          <w:rFonts w:eastAsia="Times New Roman" w:cs="Times New Roman"/>
        </w:rPr>
        <w:t xml:space="preserve"> (V.O.L).</w:t>
      </w:r>
    </w:p>
    <w:p w:rsidR="00951B40" w:rsidRDefault="00AB663A" w:rsidP="00D510AA">
      <w:pPr>
        <w:pStyle w:val="Standard"/>
        <w:tabs>
          <w:tab w:val="left" w:pos="1407"/>
        </w:tabs>
        <w:jc w:val="both"/>
        <w:rPr>
          <w:rFonts w:eastAsia="Times New Roman" w:cs="Times New Roman"/>
        </w:rPr>
      </w:pPr>
      <w:r>
        <w:rPr>
          <w:rFonts w:eastAsia="Times New Roman" w:cs="Times New Roman"/>
        </w:rPr>
        <w:t>La location de l'arche entraine le déplacement de deux (2) bénévoles nommés par V.O.L, les frais liés à leur déplacement sont à la charge du club emprunteur (</w:t>
      </w:r>
      <w:r w:rsidR="00C37FAA">
        <w:rPr>
          <w:rFonts w:eastAsia="Times New Roman" w:cs="Times New Roman"/>
        </w:rPr>
        <w:t>d</w:t>
      </w:r>
      <w:r>
        <w:rPr>
          <w:rFonts w:eastAsia="Times New Roman" w:cs="Times New Roman"/>
        </w:rPr>
        <w:t>evis possible)</w:t>
      </w:r>
      <w:r w:rsidR="00C37FAA">
        <w:rPr>
          <w:rFonts w:eastAsia="Times New Roman" w:cs="Times New Roman"/>
        </w:rPr>
        <w:t>.</w:t>
      </w:r>
    </w:p>
    <w:p w:rsidR="00951B40" w:rsidRDefault="00951B40">
      <w:pPr>
        <w:pStyle w:val="Standard"/>
        <w:tabs>
          <w:tab w:val="left" w:pos="1407"/>
        </w:tabs>
        <w:rPr>
          <w:rFonts w:eastAsia="Times New Roman" w:cs="Times New Roman"/>
        </w:rPr>
      </w:pPr>
    </w:p>
    <w:p w:rsidR="00951B40" w:rsidRDefault="00AB663A" w:rsidP="006122F8">
      <w:pPr>
        <w:pStyle w:val="Standard"/>
        <w:numPr>
          <w:ilvl w:val="0"/>
          <w:numId w:val="1"/>
        </w:numPr>
        <w:tabs>
          <w:tab w:val="left" w:pos="426"/>
        </w:tabs>
        <w:rPr>
          <w:rFonts w:eastAsia="Times New Roman" w:cs="Times New Roman"/>
          <w:b/>
          <w:bCs/>
          <w:sz w:val="28"/>
          <w:szCs w:val="28"/>
        </w:rPr>
      </w:pPr>
      <w:r>
        <w:rPr>
          <w:rFonts w:eastAsia="Times New Roman" w:cs="Times New Roman"/>
          <w:b/>
          <w:bCs/>
          <w:sz w:val="28"/>
          <w:szCs w:val="28"/>
        </w:rPr>
        <w:t>Animation</w:t>
      </w:r>
    </w:p>
    <w:p w:rsidR="00951B40" w:rsidRDefault="00951B40">
      <w:pPr>
        <w:pStyle w:val="Standard"/>
        <w:tabs>
          <w:tab w:val="left" w:pos="1407"/>
        </w:tabs>
        <w:rPr>
          <w:rFonts w:eastAsia="Times New Roman" w:cs="Times New Roman"/>
        </w:rPr>
      </w:pPr>
    </w:p>
    <w:p w:rsidR="00951B40" w:rsidRDefault="00AB663A" w:rsidP="00B80432">
      <w:pPr>
        <w:pStyle w:val="Standard"/>
        <w:tabs>
          <w:tab w:val="left" w:pos="1407"/>
        </w:tabs>
        <w:jc w:val="both"/>
        <w:rPr>
          <w:b/>
          <w:bCs/>
        </w:rPr>
      </w:pPr>
      <w:r>
        <w:rPr>
          <w:rFonts w:eastAsia="Times New Roman" w:cs="Times New Roman"/>
        </w:rPr>
        <w:t xml:space="preserve">L'animation sur les blocs sera assurée par l'emprunteur. </w:t>
      </w:r>
      <w:r>
        <w:rPr>
          <w:rFonts w:eastAsia="Times New Roman" w:cs="Times New Roman"/>
          <w:b/>
          <w:bCs/>
        </w:rPr>
        <w:t>Il devra mettre en place les éléments nécessaires pour assurer la sécurité de l'activité (parage des grimpeurs, tapis de réception en bas des blocs...).</w:t>
      </w:r>
    </w:p>
    <w:p w:rsidR="00951B40" w:rsidRDefault="00951B40">
      <w:pPr>
        <w:pStyle w:val="Standard"/>
        <w:tabs>
          <w:tab w:val="left" w:pos="1407"/>
        </w:tabs>
        <w:rPr>
          <w:rFonts w:eastAsia="Times New Roman" w:cs="Times New Roman"/>
        </w:rPr>
      </w:pPr>
    </w:p>
    <w:p w:rsidR="00951B40" w:rsidRDefault="00AB663A" w:rsidP="006122F8">
      <w:pPr>
        <w:pStyle w:val="Standard"/>
        <w:numPr>
          <w:ilvl w:val="0"/>
          <w:numId w:val="1"/>
        </w:numPr>
        <w:tabs>
          <w:tab w:val="left" w:pos="426"/>
        </w:tabs>
        <w:rPr>
          <w:rFonts w:eastAsia="Times New Roman" w:cs="Times New Roman"/>
          <w:b/>
          <w:bCs/>
          <w:sz w:val="28"/>
          <w:szCs w:val="28"/>
        </w:rPr>
      </w:pPr>
      <w:r>
        <w:rPr>
          <w:rFonts w:eastAsia="Times New Roman" w:cs="Times New Roman"/>
          <w:b/>
          <w:bCs/>
          <w:sz w:val="28"/>
          <w:szCs w:val="28"/>
        </w:rPr>
        <w:t>Inventaire</w:t>
      </w:r>
    </w:p>
    <w:p w:rsidR="00951B40" w:rsidRDefault="00951B40">
      <w:pPr>
        <w:pStyle w:val="Standard"/>
        <w:tabs>
          <w:tab w:val="left" w:pos="1407"/>
        </w:tabs>
        <w:rPr>
          <w:rFonts w:eastAsia="Times New Roman" w:cs="Times New Roman"/>
        </w:rPr>
      </w:pPr>
    </w:p>
    <w:p w:rsidR="00951B40" w:rsidRDefault="00AB663A" w:rsidP="008F3996">
      <w:pPr>
        <w:pStyle w:val="Standard"/>
        <w:tabs>
          <w:tab w:val="left" w:pos="1407"/>
        </w:tabs>
        <w:jc w:val="both"/>
        <w:rPr>
          <w:rFonts w:eastAsia="Times New Roman" w:cs="Times New Roman"/>
        </w:rPr>
      </w:pPr>
      <w:r>
        <w:rPr>
          <w:rFonts w:eastAsia="Times New Roman" w:cs="Times New Roman"/>
        </w:rPr>
        <w:t>Un inventaire du matériel sera signé par les parties avant et après la mise à disposition. Tout matériel manquant ou endommagé au point de nécessiter son remplacement sera facturé au tarif en vigueur à la date de la prise en charge.</w:t>
      </w:r>
    </w:p>
    <w:p w:rsidR="00951B40" w:rsidRDefault="00AB663A">
      <w:pPr>
        <w:pStyle w:val="Standard"/>
        <w:tabs>
          <w:tab w:val="left" w:pos="1407"/>
        </w:tabs>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p>
    <w:p w:rsidR="00951B40" w:rsidRDefault="00AB663A" w:rsidP="006122F8">
      <w:pPr>
        <w:pStyle w:val="Standard"/>
        <w:numPr>
          <w:ilvl w:val="0"/>
          <w:numId w:val="1"/>
        </w:numPr>
        <w:tabs>
          <w:tab w:val="left" w:pos="426"/>
        </w:tabs>
        <w:rPr>
          <w:rFonts w:eastAsia="Times New Roman" w:cs="Times New Roman"/>
          <w:b/>
          <w:bCs/>
          <w:sz w:val="28"/>
          <w:szCs w:val="28"/>
        </w:rPr>
      </w:pPr>
      <w:r>
        <w:rPr>
          <w:rFonts w:eastAsia="Times New Roman" w:cs="Times New Roman"/>
          <w:b/>
          <w:bCs/>
          <w:sz w:val="28"/>
          <w:szCs w:val="28"/>
        </w:rPr>
        <w:t>Assurance</w:t>
      </w:r>
    </w:p>
    <w:p w:rsidR="00951B40" w:rsidRDefault="00951B40">
      <w:pPr>
        <w:pStyle w:val="Standard"/>
        <w:tabs>
          <w:tab w:val="left" w:pos="1407"/>
        </w:tabs>
        <w:rPr>
          <w:rFonts w:eastAsia="Times New Roman" w:cs="Times New Roman"/>
        </w:rPr>
      </w:pPr>
    </w:p>
    <w:p w:rsidR="00951B40" w:rsidRDefault="00AB663A" w:rsidP="00350A13">
      <w:pPr>
        <w:pStyle w:val="Standard"/>
        <w:tabs>
          <w:tab w:val="left" w:pos="1407"/>
        </w:tabs>
        <w:jc w:val="both"/>
        <w:rPr>
          <w:rFonts w:eastAsia="Times New Roman" w:cs="Times New Roman"/>
        </w:rPr>
      </w:pPr>
      <w:r>
        <w:rPr>
          <w:rFonts w:eastAsia="Times New Roman" w:cs="Times New Roman"/>
        </w:rPr>
        <w:t>L'emprunteur sera responsable de la surveillance du matériel pendant la durée de la mise à disposition. Il fera son affaire de toute assurance pour le matériel utilisé et s'engage à restituer la structure dans son état initial.</w:t>
      </w:r>
    </w:p>
    <w:p w:rsidR="00951B40" w:rsidRDefault="00AB663A">
      <w:pPr>
        <w:pStyle w:val="Standard"/>
        <w:tabs>
          <w:tab w:val="left" w:pos="1407"/>
        </w:tabs>
        <w:rPr>
          <w:rFonts w:eastAsia="Times New Roman" w:cs="Times New Roman"/>
        </w:rPr>
      </w:pPr>
      <w:r>
        <w:rPr>
          <w:rFonts w:eastAsia="Times New Roman" w:cs="Times New Roman"/>
        </w:rPr>
        <w:t>L'emprunteur sera responsable des utilisateurs de la</w:t>
      </w:r>
      <w:r w:rsidR="00350A13">
        <w:rPr>
          <w:rFonts w:eastAsia="Times New Roman" w:cs="Times New Roman"/>
        </w:rPr>
        <w:t xml:space="preserve"> </w:t>
      </w:r>
      <w:r>
        <w:rPr>
          <w:rFonts w:eastAsia="Times New Roman" w:cs="Times New Roman"/>
        </w:rPr>
        <w:t>(les) structure pendant la mise à disposition.</w:t>
      </w:r>
    </w:p>
    <w:p w:rsidR="00951B40" w:rsidRDefault="00951B40">
      <w:pPr>
        <w:pStyle w:val="Standard"/>
        <w:tabs>
          <w:tab w:val="left" w:pos="1407"/>
        </w:tabs>
        <w:rPr>
          <w:rFonts w:eastAsia="Times New Roman" w:cs="Times New Roman"/>
        </w:rPr>
      </w:pPr>
    </w:p>
    <w:p w:rsidR="00951B40" w:rsidRDefault="00AB663A" w:rsidP="006122F8">
      <w:pPr>
        <w:pStyle w:val="Standard"/>
        <w:numPr>
          <w:ilvl w:val="0"/>
          <w:numId w:val="1"/>
        </w:numPr>
        <w:tabs>
          <w:tab w:val="left" w:pos="426"/>
        </w:tabs>
        <w:rPr>
          <w:rFonts w:eastAsia="Times New Roman" w:cs="Times New Roman"/>
          <w:b/>
          <w:bCs/>
          <w:sz w:val="28"/>
          <w:szCs w:val="28"/>
        </w:rPr>
      </w:pPr>
      <w:r>
        <w:rPr>
          <w:rFonts w:eastAsia="Times New Roman" w:cs="Times New Roman"/>
          <w:b/>
          <w:bCs/>
          <w:sz w:val="28"/>
          <w:szCs w:val="28"/>
        </w:rPr>
        <w:t>Participation financière</w:t>
      </w:r>
    </w:p>
    <w:p w:rsidR="00951B40" w:rsidRDefault="00951B40">
      <w:pPr>
        <w:pStyle w:val="Standard"/>
        <w:tabs>
          <w:tab w:val="left" w:pos="1407"/>
        </w:tabs>
        <w:rPr>
          <w:rFonts w:eastAsia="Times New Roman" w:cs="Times New Roman"/>
        </w:rPr>
      </w:pPr>
    </w:p>
    <w:p w:rsidR="00951B40" w:rsidRDefault="00576404" w:rsidP="00576404">
      <w:pPr>
        <w:pStyle w:val="Standard"/>
        <w:tabs>
          <w:tab w:val="left" w:pos="1407"/>
        </w:tabs>
        <w:jc w:val="both"/>
        <w:rPr>
          <w:rFonts w:eastAsia="Times New Roman" w:cs="Times New Roman"/>
        </w:rPr>
      </w:pPr>
      <w:r>
        <w:rPr>
          <w:rFonts w:eastAsia="Times New Roman" w:cs="Times New Roman"/>
        </w:rPr>
        <w:t xml:space="preserve">A défaut d’autre arrangement, </w:t>
      </w:r>
      <w:r w:rsidR="00843D62">
        <w:rPr>
          <w:rFonts w:eastAsia="Times New Roman" w:cs="Times New Roman"/>
        </w:rPr>
        <w:t xml:space="preserve">la location se </w:t>
      </w:r>
      <w:r w:rsidR="002E0EC5">
        <w:rPr>
          <w:rFonts w:eastAsia="Times New Roman" w:cs="Times New Roman"/>
        </w:rPr>
        <w:t>fera</w:t>
      </w:r>
      <w:r w:rsidR="00843D62">
        <w:rPr>
          <w:rFonts w:eastAsia="Times New Roman" w:cs="Times New Roman"/>
        </w:rPr>
        <w:t xml:space="preserve"> contre une participation financière. L</w:t>
      </w:r>
      <w:r w:rsidR="00AB663A">
        <w:rPr>
          <w:rFonts w:eastAsia="Times New Roman" w:cs="Times New Roman"/>
        </w:rPr>
        <w:t>e tarif est établi en fonction de la grille de tarification (devis possible)</w:t>
      </w:r>
      <w:r w:rsidR="00562346">
        <w:rPr>
          <w:rFonts w:eastAsia="Times New Roman" w:cs="Times New Roman"/>
        </w:rPr>
        <w:t xml:space="preserve"> </w:t>
      </w:r>
      <w:r w:rsidR="008C6F8F">
        <w:rPr>
          <w:rFonts w:eastAsia="Times New Roman" w:cs="Times New Roman"/>
        </w:rPr>
        <w:t>ci-dessous</w:t>
      </w:r>
      <w:r w:rsidR="00406C39">
        <w:rPr>
          <w:rFonts w:eastAsia="Times New Roman" w:cs="Times New Roman"/>
        </w:rPr>
        <w:t> :</w:t>
      </w:r>
    </w:p>
    <w:p w:rsidR="00562346" w:rsidRDefault="00562346">
      <w:pPr>
        <w:pStyle w:val="Standard"/>
        <w:tabs>
          <w:tab w:val="left" w:pos="1407"/>
        </w:tabs>
        <w:rPr>
          <w:rFonts w:eastAsia="Times New Roman" w:cs="Times New Roman"/>
        </w:rPr>
      </w:pPr>
      <w:r>
        <w:rPr>
          <w:rFonts w:eastAsia="Times New Roman" w:cs="Times New Roman"/>
        </w:rPr>
        <w:t>Club FFME,</w:t>
      </w:r>
      <w:r w:rsidR="005A34B5">
        <w:rPr>
          <w:rFonts w:eastAsia="Times New Roman" w:cs="Times New Roman"/>
        </w:rPr>
        <w:t xml:space="preserve"> prix par bloc : </w:t>
      </w:r>
      <w:r w:rsidR="003C0BAF">
        <w:rPr>
          <w:rFonts w:eastAsia="Times New Roman" w:cs="Times New Roman"/>
        </w:rPr>
        <w:t>25</w:t>
      </w:r>
      <w:r w:rsidR="00BE0F1D">
        <w:rPr>
          <w:rFonts w:eastAsia="Times New Roman" w:cs="Times New Roman"/>
        </w:rPr>
        <w:t>€</w:t>
      </w:r>
    </w:p>
    <w:p w:rsidR="005A34B5" w:rsidRDefault="005A34B5">
      <w:pPr>
        <w:pStyle w:val="Standard"/>
        <w:tabs>
          <w:tab w:val="left" w:pos="1407"/>
        </w:tabs>
        <w:rPr>
          <w:rFonts w:eastAsia="Times New Roman" w:cs="Times New Roman"/>
        </w:rPr>
      </w:pPr>
      <w:r>
        <w:rPr>
          <w:rFonts w:eastAsia="Times New Roman" w:cs="Times New Roman"/>
        </w:rPr>
        <w:t>Club non FFME, prix par bloc :</w:t>
      </w:r>
      <w:r w:rsidR="00BE0F1D">
        <w:rPr>
          <w:rFonts w:eastAsia="Times New Roman" w:cs="Times New Roman"/>
        </w:rPr>
        <w:t xml:space="preserve"> 50€</w:t>
      </w:r>
      <w:r>
        <w:rPr>
          <w:rFonts w:eastAsia="Times New Roman" w:cs="Times New Roman"/>
        </w:rPr>
        <w:t xml:space="preserve"> </w:t>
      </w:r>
    </w:p>
    <w:p w:rsidR="005A34B5" w:rsidRDefault="005A34B5">
      <w:pPr>
        <w:pStyle w:val="Standard"/>
        <w:tabs>
          <w:tab w:val="left" w:pos="1407"/>
        </w:tabs>
        <w:rPr>
          <w:rFonts w:eastAsia="Times New Roman" w:cs="Times New Roman"/>
        </w:rPr>
      </w:pPr>
    </w:p>
    <w:p w:rsidR="00951B40" w:rsidRDefault="00AB663A" w:rsidP="00E2057F">
      <w:pPr>
        <w:pStyle w:val="Standard"/>
        <w:numPr>
          <w:ilvl w:val="0"/>
          <w:numId w:val="1"/>
        </w:numPr>
        <w:tabs>
          <w:tab w:val="left" w:pos="426"/>
        </w:tabs>
        <w:rPr>
          <w:rFonts w:eastAsia="Times New Roman" w:cs="Times New Roman"/>
          <w:b/>
          <w:bCs/>
          <w:sz w:val="28"/>
          <w:szCs w:val="28"/>
        </w:rPr>
      </w:pPr>
      <w:r>
        <w:rPr>
          <w:rFonts w:eastAsia="Times New Roman" w:cs="Times New Roman"/>
          <w:b/>
          <w:bCs/>
          <w:sz w:val="28"/>
          <w:szCs w:val="28"/>
        </w:rPr>
        <w:t>Documents en annexe</w:t>
      </w:r>
    </w:p>
    <w:p w:rsidR="00B17544" w:rsidRDefault="00B17544">
      <w:pPr>
        <w:pStyle w:val="Standard"/>
        <w:tabs>
          <w:tab w:val="left" w:pos="1407"/>
        </w:tabs>
      </w:pPr>
    </w:p>
    <w:p w:rsidR="00951B40" w:rsidRDefault="00AB663A">
      <w:pPr>
        <w:pStyle w:val="Standard"/>
        <w:tabs>
          <w:tab w:val="left" w:pos="1407"/>
        </w:tabs>
      </w:pPr>
      <w:r>
        <w:t>Inventaire des blocs loués</w:t>
      </w:r>
      <w:r w:rsidR="00D417BC">
        <w:t>.</w:t>
      </w:r>
    </w:p>
    <w:p w:rsidR="00951B40" w:rsidRDefault="00AB663A">
      <w:pPr>
        <w:pStyle w:val="Standard"/>
        <w:tabs>
          <w:tab w:val="left" w:pos="1407"/>
        </w:tabs>
        <w:rPr>
          <w:rFonts w:eastAsia="Times New Roman" w:cs="Times New Roman"/>
        </w:rPr>
      </w:pPr>
      <w:r>
        <w:rPr>
          <w:rFonts w:eastAsia="Times New Roman" w:cs="Times New Roman"/>
        </w:rPr>
        <w:t>Plans de montage</w:t>
      </w:r>
      <w:r w:rsidR="00FA5253">
        <w:rPr>
          <w:rFonts w:eastAsia="Times New Roman" w:cs="Times New Roman"/>
        </w:rPr>
        <w:t xml:space="preserve"> des blocs hexagonaux</w:t>
      </w:r>
      <w:r w:rsidR="00D417BC">
        <w:rPr>
          <w:rFonts w:eastAsia="Times New Roman" w:cs="Times New Roman"/>
        </w:rPr>
        <w:t>.</w:t>
      </w: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AB663A">
      <w:pPr>
        <w:pStyle w:val="Standard"/>
        <w:tabs>
          <w:tab w:val="left" w:pos="1407"/>
        </w:tabs>
        <w:rPr>
          <w:rFonts w:eastAsia="Times New Roman" w:cs="Times New Roman"/>
        </w:rPr>
      </w:pPr>
      <w:r>
        <w:rPr>
          <w:rFonts w:eastAsia="Times New Roman" w:cs="Times New Roman"/>
        </w:rPr>
        <w:t>A...................... le......................</w:t>
      </w:r>
    </w:p>
    <w:p w:rsidR="00951B40" w:rsidRDefault="00951B40">
      <w:pPr>
        <w:pStyle w:val="Standard"/>
        <w:tabs>
          <w:tab w:val="left" w:pos="1407"/>
        </w:tabs>
        <w:rPr>
          <w:rFonts w:eastAsia="Times New Roman" w:cs="Times New Roman"/>
        </w:rPr>
      </w:pPr>
    </w:p>
    <w:p w:rsidR="000E6E55" w:rsidRDefault="000E6E55">
      <w:pPr>
        <w:pStyle w:val="Standard"/>
        <w:tabs>
          <w:tab w:val="left" w:pos="1407"/>
        </w:tabs>
        <w:rPr>
          <w:rFonts w:eastAsia="Times New Roman" w:cs="Times New Roman"/>
        </w:rPr>
      </w:pPr>
    </w:p>
    <w:p w:rsidR="00951B40" w:rsidRDefault="00AB663A">
      <w:pPr>
        <w:pStyle w:val="Standard"/>
        <w:tabs>
          <w:tab w:val="left" w:pos="1407"/>
        </w:tabs>
        <w:rPr>
          <w:rFonts w:eastAsia="Times New Roman" w:cs="Times New Roman"/>
        </w:rPr>
      </w:pPr>
      <w:r>
        <w:rPr>
          <w:rFonts w:eastAsia="Times New Roman" w:cs="Times New Roman"/>
        </w:rPr>
        <w:tab/>
        <w:t>L'emprunteur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Vertical Ouest Loisir</w:t>
      </w:r>
      <w:r w:rsidR="001717C9">
        <w:rPr>
          <w:rFonts w:eastAsia="Times New Roman" w:cs="Times New Roman"/>
        </w:rPr>
        <w:t>s</w:t>
      </w:r>
      <w:r>
        <w:rPr>
          <w:rFonts w:eastAsia="Times New Roman" w:cs="Times New Roman"/>
        </w:rPr>
        <w:t> :</w:t>
      </w: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p w:rsidR="00951B40" w:rsidRDefault="00951B40">
      <w:pPr>
        <w:pStyle w:val="Standard"/>
        <w:tabs>
          <w:tab w:val="left" w:pos="1407"/>
        </w:tabs>
        <w:rPr>
          <w:rFonts w:eastAsia="Times New Roman" w:cs="Times New Roman"/>
        </w:rPr>
      </w:pPr>
    </w:p>
    <w:sectPr w:rsidR="00951B40">
      <w:headerReference w:type="default" r:id="rId9"/>
      <w:footerReference w:type="default" r:id="rId10"/>
      <w:pgSz w:w="11906" w:h="16838"/>
      <w:pgMar w:top="1134" w:right="1134" w:bottom="1474" w:left="1134" w:header="720" w:footer="113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F2" w:rsidRDefault="001330F2">
      <w:r>
        <w:separator/>
      </w:r>
    </w:p>
  </w:endnote>
  <w:endnote w:type="continuationSeparator" w:id="0">
    <w:p w:rsidR="001330F2" w:rsidRDefault="0013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OpenSymbo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82" w:rsidRDefault="00AB663A">
    <w:pPr>
      <w:pStyle w:val="Pieddepage"/>
      <w:jc w:val="center"/>
      <w:rPr>
        <w:b/>
        <w:bCs/>
        <w:sz w:val="22"/>
        <w:szCs w:val="22"/>
      </w:rPr>
    </w:pPr>
    <w:r>
      <w:rPr>
        <w:b/>
        <w:bCs/>
        <w:sz w:val="22"/>
        <w:szCs w:val="22"/>
      </w:rPr>
      <w:t>Vertical ouest loisir</w:t>
    </w:r>
    <w:r w:rsidR="00C46EC7">
      <w:rPr>
        <w:b/>
        <w:bCs/>
        <w:sz w:val="22"/>
        <w:szCs w:val="22"/>
      </w:rPr>
      <w:t>s</w:t>
    </w:r>
    <w:r>
      <w:rPr>
        <w:b/>
        <w:bCs/>
        <w:sz w:val="22"/>
        <w:szCs w:val="22"/>
      </w:rPr>
      <w:t xml:space="preserve"> (V.O.L) Association d'escalade et de montagne (loi 1901)</w:t>
    </w:r>
  </w:p>
  <w:p w:rsidR="00412582" w:rsidRDefault="00AB663A">
    <w:pPr>
      <w:pStyle w:val="Pieddepage"/>
      <w:jc w:val="center"/>
      <w:rPr>
        <w:b/>
        <w:bCs/>
        <w:sz w:val="22"/>
        <w:szCs w:val="22"/>
      </w:rPr>
    </w:pPr>
    <w:r>
      <w:rPr>
        <w:b/>
        <w:bCs/>
        <w:sz w:val="22"/>
        <w:szCs w:val="22"/>
      </w:rPr>
      <w:t xml:space="preserve">32, rue de la Marbaudais – 35700 RENNES </w:t>
    </w:r>
    <w:r w:rsidR="00623324">
      <w:rPr>
        <w:b/>
        <w:bCs/>
        <w:sz w:val="22"/>
        <w:szCs w:val="22"/>
      </w:rPr>
      <w:t>–</w:t>
    </w:r>
    <w:r>
      <w:rPr>
        <w:b/>
        <w:bCs/>
        <w:sz w:val="22"/>
        <w:szCs w:val="22"/>
      </w:rPr>
      <w:t xml:space="preserve"> tél:02.99.38.79.78</w:t>
    </w:r>
  </w:p>
  <w:p w:rsidR="00412582" w:rsidRDefault="001330F2">
    <w:pPr>
      <w:pStyle w:val="Pieddepage"/>
      <w:jc w:val="center"/>
      <w:rPr>
        <w:b/>
        <w:bCs/>
      </w:rPr>
    </w:pPr>
    <w:hyperlink r:id="rId1" w:history="1">
      <w:r w:rsidR="00AB663A">
        <w:rPr>
          <w:b/>
          <w:bCs/>
          <w:sz w:val="22"/>
          <w:szCs w:val="22"/>
        </w:rPr>
        <w:t>vol@club.ffme.fr</w:t>
      </w:r>
    </w:hyperlink>
    <w:r w:rsidR="00AB663A">
      <w:rPr>
        <w:b/>
        <w:bCs/>
        <w:sz w:val="22"/>
        <w:szCs w:val="22"/>
      </w:rPr>
      <w:t xml:space="preserve"> – </w:t>
    </w:r>
    <w:hyperlink r:id="rId2" w:history="1">
      <w:r w:rsidR="00AB663A">
        <w:rPr>
          <w:b/>
          <w:bCs/>
          <w:sz w:val="22"/>
          <w:szCs w:val="22"/>
        </w:rPr>
        <w:t>www.vertical-ouest-loisirs.fr</w:t>
      </w:r>
    </w:hyperlink>
  </w:p>
  <w:p w:rsidR="00412582" w:rsidRDefault="00AB663A">
    <w:pPr>
      <w:pStyle w:val="Pieddepage"/>
      <w:jc w:val="center"/>
      <w:rPr>
        <w:sz w:val="20"/>
        <w:szCs w:val="20"/>
      </w:rPr>
    </w:pPr>
    <w:r>
      <w:rPr>
        <w:sz w:val="20"/>
        <w:szCs w:val="20"/>
      </w:rPr>
      <w:t>Affiliée à la Fédération de la Montagne et de l'Escalade – Agréée par le Ministère de la Jeunesse et des Sports</w:t>
    </w:r>
  </w:p>
  <w:p w:rsidR="00412582" w:rsidRDefault="00AB663A">
    <w:pPr>
      <w:pStyle w:val="Pieddepage"/>
      <w:jc w:val="center"/>
      <w:rPr>
        <w:sz w:val="20"/>
        <w:szCs w:val="20"/>
      </w:rPr>
    </w:pPr>
    <w:r>
      <w:rPr>
        <w:sz w:val="20"/>
        <w:szCs w:val="20"/>
      </w:rPr>
      <w:t>Adhérente de l'office des Sports de Rennes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F2" w:rsidRDefault="001330F2">
      <w:r>
        <w:rPr>
          <w:color w:val="000000"/>
        </w:rPr>
        <w:separator/>
      </w:r>
    </w:p>
  </w:footnote>
  <w:footnote w:type="continuationSeparator" w:id="0">
    <w:p w:rsidR="001330F2" w:rsidRDefault="00133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317179"/>
      <w:docPartObj>
        <w:docPartGallery w:val="Page Numbers (Top of Page)"/>
        <w:docPartUnique/>
      </w:docPartObj>
    </w:sdtPr>
    <w:sdtEndPr/>
    <w:sdtContent>
      <w:p w:rsidR="009A4E24" w:rsidRDefault="009A4E24">
        <w:pPr>
          <w:pStyle w:val="En-tte"/>
          <w:jc w:val="right"/>
        </w:pPr>
        <w:r>
          <w:t xml:space="preserve">Page </w:t>
        </w:r>
        <w:r>
          <w:fldChar w:fldCharType="begin"/>
        </w:r>
        <w:r>
          <w:instrText>PAGE   \* MERGEFORMAT</w:instrText>
        </w:r>
        <w:r>
          <w:fldChar w:fldCharType="separate"/>
        </w:r>
        <w:r w:rsidR="00F74D56">
          <w:rPr>
            <w:noProof/>
          </w:rPr>
          <w:t>3</w:t>
        </w:r>
        <w:r>
          <w:fldChar w:fldCharType="end"/>
        </w:r>
      </w:p>
    </w:sdtContent>
  </w:sdt>
  <w:p w:rsidR="009A4E24" w:rsidRDefault="009A4E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2C7D"/>
    <w:multiLevelType w:val="multilevel"/>
    <w:tmpl w:val="1EE0C9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51B40"/>
    <w:rsid w:val="0001501A"/>
    <w:rsid w:val="00047452"/>
    <w:rsid w:val="00091C10"/>
    <w:rsid w:val="00096D89"/>
    <w:rsid w:val="000A7AD2"/>
    <w:rsid w:val="000E3A73"/>
    <w:rsid w:val="000E50A8"/>
    <w:rsid w:val="000E6E55"/>
    <w:rsid w:val="001330F2"/>
    <w:rsid w:val="00165097"/>
    <w:rsid w:val="001717C9"/>
    <w:rsid w:val="00173F98"/>
    <w:rsid w:val="00192A01"/>
    <w:rsid w:val="001B6218"/>
    <w:rsid w:val="002249D7"/>
    <w:rsid w:val="00237F7D"/>
    <w:rsid w:val="00267278"/>
    <w:rsid w:val="0027691A"/>
    <w:rsid w:val="00292A7A"/>
    <w:rsid w:val="002A314C"/>
    <w:rsid w:val="002C6E29"/>
    <w:rsid w:val="002E0EC5"/>
    <w:rsid w:val="00305584"/>
    <w:rsid w:val="00307398"/>
    <w:rsid w:val="00341202"/>
    <w:rsid w:val="00350A13"/>
    <w:rsid w:val="003C0BAF"/>
    <w:rsid w:val="003C5220"/>
    <w:rsid w:val="003C5DE7"/>
    <w:rsid w:val="00406C39"/>
    <w:rsid w:val="0044723C"/>
    <w:rsid w:val="004A2830"/>
    <w:rsid w:val="004D58D2"/>
    <w:rsid w:val="00562346"/>
    <w:rsid w:val="00576404"/>
    <w:rsid w:val="005A043D"/>
    <w:rsid w:val="005A2225"/>
    <w:rsid w:val="005A34B5"/>
    <w:rsid w:val="005B2F34"/>
    <w:rsid w:val="005C0669"/>
    <w:rsid w:val="006122F8"/>
    <w:rsid w:val="00623324"/>
    <w:rsid w:val="00706743"/>
    <w:rsid w:val="00715D2A"/>
    <w:rsid w:val="00723032"/>
    <w:rsid w:val="00752619"/>
    <w:rsid w:val="0078689B"/>
    <w:rsid w:val="00843D62"/>
    <w:rsid w:val="008C6F8F"/>
    <w:rsid w:val="008E05B9"/>
    <w:rsid w:val="008F3996"/>
    <w:rsid w:val="00947751"/>
    <w:rsid w:val="00951B40"/>
    <w:rsid w:val="00956CB7"/>
    <w:rsid w:val="00961646"/>
    <w:rsid w:val="00977491"/>
    <w:rsid w:val="00980D87"/>
    <w:rsid w:val="009A4E24"/>
    <w:rsid w:val="009A6465"/>
    <w:rsid w:val="009A6708"/>
    <w:rsid w:val="009C38FC"/>
    <w:rsid w:val="009F5AF8"/>
    <w:rsid w:val="00A25ECE"/>
    <w:rsid w:val="00A62419"/>
    <w:rsid w:val="00A649E3"/>
    <w:rsid w:val="00AA3488"/>
    <w:rsid w:val="00AA5384"/>
    <w:rsid w:val="00AB663A"/>
    <w:rsid w:val="00AE09EA"/>
    <w:rsid w:val="00AF5F27"/>
    <w:rsid w:val="00B168A6"/>
    <w:rsid w:val="00B17544"/>
    <w:rsid w:val="00B80432"/>
    <w:rsid w:val="00B86FE7"/>
    <w:rsid w:val="00BE0F1D"/>
    <w:rsid w:val="00BF4F90"/>
    <w:rsid w:val="00C00EEC"/>
    <w:rsid w:val="00C17086"/>
    <w:rsid w:val="00C37FAA"/>
    <w:rsid w:val="00C44538"/>
    <w:rsid w:val="00C46EC7"/>
    <w:rsid w:val="00C64F89"/>
    <w:rsid w:val="00CA49E0"/>
    <w:rsid w:val="00CD7E95"/>
    <w:rsid w:val="00D261D8"/>
    <w:rsid w:val="00D37293"/>
    <w:rsid w:val="00D417BC"/>
    <w:rsid w:val="00D42E87"/>
    <w:rsid w:val="00D45B53"/>
    <w:rsid w:val="00D510AA"/>
    <w:rsid w:val="00DF3686"/>
    <w:rsid w:val="00E12F12"/>
    <w:rsid w:val="00E2057F"/>
    <w:rsid w:val="00E53968"/>
    <w:rsid w:val="00F01F34"/>
    <w:rsid w:val="00F37CC5"/>
    <w:rsid w:val="00F74D56"/>
    <w:rsid w:val="00FA5253"/>
    <w:rsid w:val="00FC5EF1"/>
    <w:rsid w:val="00FD4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En-tte">
    <w:name w:val="header"/>
    <w:basedOn w:val="Normal"/>
    <w:link w:val="En-tteCar"/>
    <w:uiPriority w:val="99"/>
    <w:unhideWhenUsed/>
    <w:rsid w:val="009A4E24"/>
    <w:pPr>
      <w:tabs>
        <w:tab w:val="center" w:pos="4536"/>
        <w:tab w:val="right" w:pos="9072"/>
      </w:tabs>
    </w:pPr>
    <w:rPr>
      <w:szCs w:val="21"/>
    </w:rPr>
  </w:style>
  <w:style w:type="character" w:customStyle="1" w:styleId="En-tteCar">
    <w:name w:val="En-tête Car"/>
    <w:basedOn w:val="Policepardfaut"/>
    <w:link w:val="En-tte"/>
    <w:uiPriority w:val="99"/>
    <w:rsid w:val="009A4E24"/>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En-tte">
    <w:name w:val="header"/>
    <w:basedOn w:val="Normal"/>
    <w:link w:val="En-tteCar"/>
    <w:uiPriority w:val="99"/>
    <w:unhideWhenUsed/>
    <w:rsid w:val="009A4E24"/>
    <w:pPr>
      <w:tabs>
        <w:tab w:val="center" w:pos="4536"/>
        <w:tab w:val="right" w:pos="9072"/>
      </w:tabs>
    </w:pPr>
    <w:rPr>
      <w:szCs w:val="21"/>
    </w:rPr>
  </w:style>
  <w:style w:type="character" w:customStyle="1" w:styleId="En-tteCar">
    <w:name w:val="En-tête Car"/>
    <w:basedOn w:val="Policepardfaut"/>
    <w:link w:val="En-tte"/>
    <w:uiPriority w:val="99"/>
    <w:rsid w:val="009A4E2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sphotos-a.xx.fbcdn.net/hphotos-ash4/228057_10150587609545647_5174416_n.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vertical-ouest-loisirs.fr/" TargetMode="External"/><Relationship Id="rId1" Type="http://schemas.openxmlformats.org/officeDocument/2006/relationships/hyperlink" Target="mailto:vol@club.ff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743</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Le Gall</dc:creator>
  <cp:lastModifiedBy>Stéphane Le Gall</cp:lastModifiedBy>
  <cp:revision>98</cp:revision>
  <cp:lastPrinted>2014-01-25T18:31:00Z</cp:lastPrinted>
  <dcterms:created xsi:type="dcterms:W3CDTF">2014-01-25T11:15:00Z</dcterms:created>
  <dcterms:modified xsi:type="dcterms:W3CDTF">2014-01-25T18:31:00Z</dcterms:modified>
</cp:coreProperties>
</file>